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51C6" w:rsidRDefault="00B71A13">
      <w:pPr>
        <w:jc w:val="center"/>
        <w:outlineLvl w:val="0"/>
        <w:rPr>
          <w:b/>
          <w:bCs/>
          <w:sz w:val="24"/>
          <w:szCs w:val="32"/>
        </w:rPr>
      </w:pPr>
      <w:bookmarkStart w:id="0" w:name="_GoBack"/>
      <w:bookmarkEnd w:id="0"/>
      <w:r>
        <w:rPr>
          <w:rFonts w:hint="eastAsia"/>
          <w:b/>
          <w:bCs/>
          <w:sz w:val="24"/>
          <w:szCs w:val="32"/>
        </w:rPr>
        <w:t>铝基两相散热器，</w:t>
      </w:r>
      <w:r>
        <w:rPr>
          <w:rFonts w:hint="eastAsia"/>
          <w:b/>
          <w:bCs/>
          <w:sz w:val="24"/>
          <w:szCs w:val="32"/>
        </w:rPr>
        <w:t>5G</w:t>
      </w:r>
      <w:r>
        <w:rPr>
          <w:rFonts w:hint="eastAsia"/>
          <w:b/>
          <w:bCs/>
          <w:sz w:val="24"/>
          <w:szCs w:val="32"/>
        </w:rPr>
        <w:t>通信散热的强弓之白皮书</w:t>
      </w:r>
    </w:p>
    <w:p w:rsidR="008051C6" w:rsidRDefault="008051C6">
      <w:pPr>
        <w:spacing w:line="288" w:lineRule="auto"/>
        <w:jc w:val="center"/>
        <w:rPr>
          <w:rFonts w:asciiTheme="minorEastAsia" w:eastAsiaTheme="minorEastAsia" w:hAnsiTheme="minorEastAsia" w:cstheme="minorEastAsia"/>
          <w:color w:val="000000"/>
          <w:szCs w:val="21"/>
          <w:shd w:val="clear" w:color="auto" w:fill="FFFFFF"/>
        </w:rPr>
      </w:pPr>
    </w:p>
    <w:p w:rsidR="008051C6" w:rsidRDefault="00B71A13">
      <w:pPr>
        <w:spacing w:line="288" w:lineRule="auto"/>
        <w:jc w:val="center"/>
      </w:pPr>
      <w:r>
        <w:rPr>
          <w:rFonts w:asciiTheme="minorEastAsia" w:eastAsiaTheme="minorEastAsia" w:hAnsiTheme="minorEastAsia" w:cstheme="minorEastAsia" w:hint="eastAsia"/>
          <w:color w:val="000000"/>
          <w:szCs w:val="21"/>
          <w:shd w:val="clear" w:color="auto" w:fill="FFFFFF"/>
        </w:rPr>
        <w:t>宁波生久科技有限公司</w:t>
      </w:r>
      <w:r>
        <w:rPr>
          <w:rFonts w:asciiTheme="minorEastAsia" w:eastAsiaTheme="minorEastAsia" w:hAnsiTheme="minorEastAsia" w:cstheme="minorEastAsia" w:hint="eastAsia"/>
          <w:color w:val="000000"/>
          <w:szCs w:val="21"/>
          <w:shd w:val="clear" w:color="auto" w:fill="FFFFFF"/>
        </w:rPr>
        <w:t>,</w:t>
      </w:r>
      <w:r>
        <w:rPr>
          <w:rFonts w:asciiTheme="minorEastAsia" w:eastAsiaTheme="minorEastAsia" w:hAnsiTheme="minorEastAsia" w:cstheme="minorEastAsia" w:hint="eastAsia"/>
          <w:color w:val="000000"/>
          <w:szCs w:val="21"/>
          <w:shd w:val="clear" w:color="auto" w:fill="FFFFFF"/>
        </w:rPr>
        <w:t>中兴通讯股份有限公司</w:t>
      </w:r>
    </w:p>
    <w:p w:rsidR="008051C6" w:rsidRDefault="00B71A13">
      <w:pPr>
        <w:pStyle w:val="1"/>
        <w:rPr>
          <w:sz w:val="24"/>
        </w:rPr>
      </w:pPr>
      <w:r>
        <w:rPr>
          <w:rFonts w:hint="eastAsia"/>
          <w:sz w:val="24"/>
        </w:rPr>
        <w:t>摘要</w:t>
      </w:r>
    </w:p>
    <w:p w:rsidR="008051C6" w:rsidRDefault="00B71A13">
      <w:pPr>
        <w:spacing w:line="288" w:lineRule="auto"/>
        <w:ind w:firstLineChars="200" w:firstLine="420"/>
      </w:pPr>
      <w:r>
        <w:rPr>
          <w:rFonts w:hint="eastAsia"/>
        </w:rPr>
        <w:t>以热管、</w:t>
      </w:r>
      <w:r>
        <w:rPr>
          <w:rFonts w:hint="eastAsia"/>
        </w:rPr>
        <w:t>VC</w:t>
      </w:r>
      <w:r>
        <w:rPr>
          <w:rFonts w:hint="eastAsia"/>
        </w:rPr>
        <w:t>（</w:t>
      </w:r>
      <w:r>
        <w:rPr>
          <w:rFonts w:hint="eastAsia"/>
        </w:rPr>
        <w:t>Vapor Chamber</w:t>
      </w:r>
      <w:r>
        <w:rPr>
          <w:rFonts w:hint="eastAsia"/>
        </w:rPr>
        <w:t>）为代表的相变传热技术，具备远高于传统材料的导热能力，是解决日益增长的产品散热需求的关键技术。</w:t>
      </w:r>
    </w:p>
    <w:p w:rsidR="008051C6" w:rsidRDefault="00B71A13">
      <w:pPr>
        <w:spacing w:line="288" w:lineRule="auto"/>
        <w:ind w:firstLineChars="200" w:firstLine="420"/>
      </w:pPr>
      <w:r>
        <w:rPr>
          <w:rFonts w:hint="eastAsia"/>
        </w:rPr>
        <w:t>近年来，铝基两相散热器成为行业中的研究热点之一。铝基两相散热器的研究和应用，符合通信产品在散热方面高性能、轻量化、低成本的发展趋势，具有非常重要的意义。</w:t>
      </w:r>
    </w:p>
    <w:p w:rsidR="008051C6" w:rsidRDefault="008051C6">
      <w:pPr>
        <w:spacing w:line="288" w:lineRule="auto"/>
        <w:ind w:firstLineChars="200" w:firstLine="420"/>
      </w:pPr>
    </w:p>
    <w:p w:rsidR="008051C6" w:rsidRDefault="00B71A13">
      <w:pPr>
        <w:spacing w:line="288" w:lineRule="auto"/>
      </w:pPr>
      <w:r>
        <w:rPr>
          <w:rFonts w:hint="eastAsia"/>
          <w:b/>
          <w:bCs/>
        </w:rPr>
        <w:t>关键字：</w:t>
      </w:r>
      <w:r>
        <w:rPr>
          <w:rFonts w:hint="eastAsia"/>
        </w:rPr>
        <w:t>5G</w:t>
      </w:r>
      <w:r>
        <w:rPr>
          <w:rFonts w:hint="eastAsia"/>
        </w:rPr>
        <w:t>；相变传热；铝基两相散热器</w:t>
      </w:r>
    </w:p>
    <w:p w:rsidR="008051C6" w:rsidRDefault="00B71A13">
      <w:pPr>
        <w:pStyle w:val="1"/>
        <w:rPr>
          <w:sz w:val="24"/>
        </w:rPr>
      </w:pPr>
      <w:r>
        <w:rPr>
          <w:rFonts w:hint="eastAsia"/>
          <w:sz w:val="24"/>
        </w:rPr>
        <w:t xml:space="preserve">1 </w:t>
      </w:r>
      <w:r>
        <w:rPr>
          <w:rFonts w:hint="eastAsia"/>
          <w:sz w:val="24"/>
        </w:rPr>
        <w:t>散热器技术的演进</w:t>
      </w:r>
    </w:p>
    <w:p w:rsidR="008051C6" w:rsidRDefault="00B71A13">
      <w:pPr>
        <w:spacing w:line="288" w:lineRule="auto"/>
        <w:ind w:firstLineChars="200" w:firstLine="420"/>
      </w:pPr>
      <w:r>
        <w:t>散热是保障电子设备与产品长期安全可靠运行的重要环节。作为芯片等热耗器件应用最密集的领域，通讯和信息技术的发展促进了散热或热设计成为一个系统性的行业，电力、安防、消费电子、汽车、</w:t>
      </w:r>
      <w:r>
        <w:t>LED</w:t>
      </w:r>
      <w:r>
        <w:t>等领域的研发也越来越重视产品的散热性能，以期在市场竞争力上拥有更多优势。</w:t>
      </w:r>
    </w:p>
    <w:p w:rsidR="008051C6" w:rsidRDefault="00B71A13">
      <w:pPr>
        <w:spacing w:line="288" w:lineRule="auto"/>
        <w:ind w:firstLineChars="200" w:firstLine="420"/>
      </w:pPr>
      <w:r>
        <w:rPr>
          <w:rFonts w:hint="eastAsia"/>
        </w:rPr>
        <w:t>当前，</w:t>
      </w:r>
      <w:r>
        <w:rPr>
          <w:rFonts w:hint="eastAsia"/>
        </w:rPr>
        <w:t>5G</w:t>
      </w:r>
      <w:r>
        <w:rPr>
          <w:rFonts w:hint="eastAsia"/>
        </w:rPr>
        <w:t>通讯、信息产品整体向更大容量、更高性能、节能低噪的目标发展。设备集成化程度越来越高，单芯片功能更强大，功耗大幅增长，但布局却更紧凑，热流密度成倍攀升，散热技术面临严峻的挑战。</w:t>
      </w:r>
    </w:p>
    <w:p w:rsidR="008051C6" w:rsidRDefault="00B71A13">
      <w:pPr>
        <w:spacing w:line="288" w:lineRule="auto"/>
        <w:ind w:firstLineChars="200" w:firstLine="420"/>
      </w:pPr>
      <w:r>
        <w:t>传统的散热系统主要依赖单相材料导热将热量从器件传导至散热器表面，再由空</w:t>
      </w:r>
      <w:r>
        <w:t>气通过自然对流（自然散热系统）或强迫对流（强迫风冷系统）将热量散到环境中。热传导的效率取决于同时也受限于材料固有的导热性能。</w:t>
      </w:r>
      <w:r>
        <w:t xml:space="preserve"> </w:t>
      </w:r>
    </w:p>
    <w:p w:rsidR="008051C6" w:rsidRDefault="00B71A13">
      <w:pPr>
        <w:spacing w:line="288" w:lineRule="auto"/>
        <w:ind w:firstLineChars="200" w:firstLine="420"/>
      </w:pPr>
      <w:r>
        <w:rPr>
          <w:rFonts w:hint="eastAsia"/>
        </w:rPr>
        <w:t>而以热管、</w:t>
      </w:r>
      <w:r>
        <w:rPr>
          <w:rFonts w:hint="eastAsia"/>
        </w:rPr>
        <w:t>VC</w:t>
      </w:r>
      <w:r>
        <w:rPr>
          <w:rFonts w:hint="eastAsia"/>
        </w:rPr>
        <w:t>（</w:t>
      </w:r>
      <w:r>
        <w:rPr>
          <w:rFonts w:hint="eastAsia"/>
        </w:rPr>
        <w:t>Vapor Chamber</w:t>
      </w:r>
      <w:r>
        <w:rPr>
          <w:rFonts w:hint="eastAsia"/>
        </w:rPr>
        <w:t>）为代表的</w:t>
      </w:r>
      <w:r>
        <w:t>相变</w:t>
      </w:r>
      <w:r>
        <w:rPr>
          <w:rFonts w:hint="eastAsia"/>
        </w:rPr>
        <w:t>传热</w:t>
      </w:r>
      <w:r>
        <w:t>技术，是利用介质在</w:t>
      </w:r>
      <w:r>
        <w:rPr>
          <w:rFonts w:hint="eastAsia"/>
        </w:rPr>
        <w:t>高温</w:t>
      </w:r>
      <w:r>
        <w:t>区域</w:t>
      </w:r>
      <w:r>
        <w:rPr>
          <w:rFonts w:hint="eastAsia"/>
        </w:rPr>
        <w:t>（热源区）沸腾</w:t>
      </w:r>
      <w:r>
        <w:t>、在</w:t>
      </w:r>
      <w:r>
        <w:rPr>
          <w:rFonts w:hint="eastAsia"/>
        </w:rPr>
        <w:t>低温</w:t>
      </w:r>
      <w:r>
        <w:t>区域</w:t>
      </w:r>
      <w:r>
        <w:rPr>
          <w:rFonts w:hint="eastAsia"/>
        </w:rPr>
        <w:t>冷凝</w:t>
      </w:r>
      <w:r>
        <w:t>，同时吸收或释放相应的相变潜热，交替循环，实现热量的迅速扩散或迁移。潜热的吸收和释放是一个迅速高效的过程，且采用两相传热通常也会选择潜热较大的工质，因此传热效率</w:t>
      </w:r>
      <w:r>
        <w:rPr>
          <w:rFonts w:hint="eastAsia"/>
        </w:rPr>
        <w:t>极</w:t>
      </w:r>
      <w:r>
        <w:t>高，等效导热系数可以达到</w:t>
      </w:r>
      <w:r>
        <w:rPr>
          <w:rFonts w:hint="eastAsia"/>
        </w:rPr>
        <w:t>4</w:t>
      </w:r>
      <w:r>
        <w:t>000 W/m·K</w:t>
      </w:r>
      <w:r>
        <w:t>以上，远超金、银、铜、铝等纯金属材料（</w:t>
      </w:r>
      <w:r>
        <w:t>200~400 W/m·</w:t>
      </w:r>
      <w:r>
        <w:t>K</w:t>
      </w:r>
      <w:r>
        <w:t>），能够支撑传统散热器无法满足的更大功耗、更高热流密度传热需求。</w:t>
      </w:r>
      <w:r>
        <w:rPr>
          <w:rFonts w:hint="eastAsia"/>
        </w:rPr>
        <w:t>同时，</w:t>
      </w:r>
      <w:r>
        <w:t>可与</w:t>
      </w:r>
      <w:r>
        <w:rPr>
          <w:rFonts w:hint="eastAsia"/>
        </w:rPr>
        <w:t>多</w:t>
      </w:r>
      <w:r>
        <w:t>种冷源形式（自然对流、强迫风冷、液冷、辐射等）相匹配</w:t>
      </w:r>
      <w:r>
        <w:rPr>
          <w:rFonts w:hint="eastAsia"/>
        </w:rPr>
        <w:t>，</w:t>
      </w:r>
      <w:r>
        <w:t>应用形式灵活多样。</w:t>
      </w:r>
    </w:p>
    <w:p w:rsidR="008051C6" w:rsidRDefault="00B71A13">
      <w:pPr>
        <w:spacing w:line="288" w:lineRule="auto"/>
        <w:jc w:val="center"/>
      </w:pPr>
      <w:r>
        <w:rPr>
          <w:noProof/>
        </w:rPr>
        <w:lastRenderedPageBreak/>
        <w:drawing>
          <wp:inline distT="0" distB="0" distL="114300" distR="114300">
            <wp:extent cx="3183890" cy="1472565"/>
            <wp:effectExtent l="0" t="0" r="0" b="0"/>
            <wp:docPr id="2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2"/>
                    <pic:cNvPicPr>
                      <a:picLocks noChangeAspect="1"/>
                    </pic:cNvPicPr>
                  </pic:nvPicPr>
                  <pic:blipFill>
                    <a:blip r:embed="rId8"/>
                    <a:stretch>
                      <a:fillRect/>
                    </a:stretch>
                  </pic:blipFill>
                  <pic:spPr>
                    <a:xfrm>
                      <a:off x="0" y="0"/>
                      <a:ext cx="3183890" cy="1472565"/>
                    </a:xfrm>
                    <a:prstGeom prst="rect">
                      <a:avLst/>
                    </a:prstGeom>
                    <a:noFill/>
                    <a:ln>
                      <a:noFill/>
                    </a:ln>
                  </pic:spPr>
                </pic:pic>
              </a:graphicData>
            </a:graphic>
          </wp:inline>
        </w:drawing>
      </w:r>
    </w:p>
    <w:p w:rsidR="008051C6" w:rsidRDefault="00B71A13">
      <w:pPr>
        <w:spacing w:line="288" w:lineRule="auto"/>
        <w:jc w:val="center"/>
      </w:pPr>
      <w:r>
        <w:rPr>
          <w:rFonts w:hint="eastAsia"/>
          <w:sz w:val="18"/>
          <w:szCs w:val="18"/>
        </w:rPr>
        <w:t>图</w:t>
      </w:r>
      <w:r>
        <w:rPr>
          <w:rFonts w:hint="eastAsia"/>
          <w:sz w:val="18"/>
          <w:szCs w:val="18"/>
        </w:rPr>
        <w:t xml:space="preserve">1 </w:t>
      </w:r>
      <w:r>
        <w:rPr>
          <w:rFonts w:hint="eastAsia"/>
          <w:sz w:val="18"/>
          <w:szCs w:val="18"/>
        </w:rPr>
        <w:t>相变传热原理</w:t>
      </w:r>
    </w:p>
    <w:p w:rsidR="008051C6" w:rsidRDefault="00B71A13">
      <w:pPr>
        <w:spacing w:line="288" w:lineRule="auto"/>
        <w:ind w:firstLineChars="200" w:firstLine="420"/>
      </w:pPr>
      <w:r>
        <w:t>从最早提出且目前已大量成熟应用的热管，相继演化出</w:t>
      </w:r>
      <w:r>
        <w:t>VC</w:t>
      </w:r>
      <w:r>
        <w:t>均热板、</w:t>
      </w:r>
      <w:r>
        <w:rPr>
          <w:rFonts w:hint="eastAsia"/>
        </w:rPr>
        <w:t>3DVC</w:t>
      </w:r>
      <w:r>
        <w:rPr>
          <w:rFonts w:hint="eastAsia"/>
        </w:rPr>
        <w:t>散热器、</w:t>
      </w:r>
      <w:r>
        <w:t>Thermosyphon</w:t>
      </w:r>
      <w:r>
        <w:t>热虹吸、</w:t>
      </w:r>
      <w:r>
        <w:t>LTS</w:t>
      </w:r>
      <w:r>
        <w:t>环路热虹吸、</w:t>
      </w:r>
      <w:r>
        <w:t>LHP</w:t>
      </w:r>
      <w:r>
        <w:t>环路热管等多种形态，广泛适用于各类产品，针对器件功耗大、热流密度高、均温性差等问题，解决传统散热器无法满足的散热需求</w:t>
      </w:r>
      <w:r>
        <w:rPr>
          <w:rFonts w:hint="eastAsia"/>
        </w:rPr>
        <w:t>，成为当前散热领域重点关注和发展的方向。</w:t>
      </w:r>
    </w:p>
    <w:p w:rsidR="008051C6" w:rsidRDefault="00B71A13">
      <w:pPr>
        <w:spacing w:line="288" w:lineRule="auto"/>
      </w:pPr>
      <w:r>
        <w:rPr>
          <w:noProof/>
        </w:rPr>
        <w:drawing>
          <wp:inline distT="0" distB="0" distL="114300" distR="114300">
            <wp:extent cx="5273040" cy="997585"/>
            <wp:effectExtent l="0" t="0" r="3810"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73040" cy="997585"/>
                    </a:xfrm>
                    <a:prstGeom prst="rect">
                      <a:avLst/>
                    </a:prstGeom>
                    <a:noFill/>
                    <a:ln>
                      <a:noFill/>
                    </a:ln>
                  </pic:spPr>
                </pic:pic>
              </a:graphicData>
            </a:graphic>
          </wp:inline>
        </w:drawing>
      </w:r>
    </w:p>
    <w:p w:rsidR="008051C6" w:rsidRDefault="00B71A13">
      <w:pPr>
        <w:spacing w:line="288" w:lineRule="auto"/>
        <w:jc w:val="center"/>
      </w:pPr>
      <w:r>
        <w:rPr>
          <w:rFonts w:hint="eastAsia"/>
          <w:sz w:val="18"/>
          <w:szCs w:val="18"/>
        </w:rPr>
        <w:t>图</w:t>
      </w:r>
      <w:r>
        <w:rPr>
          <w:rFonts w:hint="eastAsia"/>
          <w:sz w:val="18"/>
          <w:szCs w:val="18"/>
        </w:rPr>
        <w:t xml:space="preserve">2 </w:t>
      </w:r>
      <w:r>
        <w:rPr>
          <w:rFonts w:hint="eastAsia"/>
          <w:sz w:val="18"/>
          <w:szCs w:val="18"/>
        </w:rPr>
        <w:t>两相散热器形态（图源网络）</w:t>
      </w:r>
    </w:p>
    <w:p w:rsidR="008051C6" w:rsidRDefault="00B71A13">
      <w:pPr>
        <w:pStyle w:val="1"/>
        <w:rPr>
          <w:sz w:val="24"/>
        </w:rPr>
      </w:pPr>
      <w:r>
        <w:rPr>
          <w:rFonts w:hint="eastAsia"/>
          <w:sz w:val="24"/>
        </w:rPr>
        <w:t xml:space="preserve">2 </w:t>
      </w:r>
      <w:r>
        <w:rPr>
          <w:rFonts w:hint="eastAsia"/>
          <w:sz w:val="24"/>
        </w:rPr>
        <w:t>铝基两相散热器技术的发展</w:t>
      </w:r>
    </w:p>
    <w:p w:rsidR="008051C6" w:rsidRDefault="00B71A13">
      <w:pPr>
        <w:spacing w:line="288" w:lineRule="auto"/>
        <w:ind w:firstLineChars="200" w:firstLine="420"/>
      </w:pPr>
      <w:r>
        <w:rPr>
          <w:rFonts w:hint="eastAsia"/>
        </w:rPr>
        <w:t>VC</w:t>
      </w:r>
      <w:r>
        <w:rPr>
          <w:rFonts w:hint="eastAsia"/>
        </w:rPr>
        <w:t>均热板是目前除热管外工艺较为成熟，在通信、电子行业应用最广泛的一类相变传热产品。典型的</w:t>
      </w:r>
      <w:r>
        <w:rPr>
          <w:rFonts w:hint="eastAsia"/>
        </w:rPr>
        <w:t>VC</w:t>
      </w:r>
      <w:r>
        <w:rPr>
          <w:rFonts w:hint="eastAsia"/>
        </w:rPr>
        <w:t>为扁平封闭式形态，由壳体、毛细结构、支撑结构和工质组成，通过工质的蒸发冷凝和毛细输运实现高效热传导，将热量从集中区域扩散至整个结构平面。</w:t>
      </w:r>
      <w:r>
        <w:rPr>
          <w:rFonts w:eastAsiaTheme="minorEastAsia"/>
        </w:rPr>
        <w:t>得益于大面积毛细特性与二维甚至三维热扩散的优势，</w:t>
      </w:r>
      <w:r>
        <w:rPr>
          <w:rFonts w:eastAsiaTheme="minorEastAsia"/>
        </w:rPr>
        <w:t>VC</w:t>
      </w:r>
      <w:r>
        <w:rPr>
          <w:rFonts w:eastAsiaTheme="minorEastAsia"/>
        </w:rPr>
        <w:t>具有更高的热流密度承载能力</w:t>
      </w:r>
      <w:r>
        <w:rPr>
          <w:rFonts w:eastAsiaTheme="minorEastAsia" w:hint="eastAsia"/>
        </w:rPr>
        <w:t>。</w:t>
      </w:r>
      <w:r>
        <w:rPr>
          <w:rFonts w:eastAsiaTheme="minorEastAsia"/>
        </w:rPr>
        <w:t>尤其针对热流密度超过</w:t>
      </w:r>
      <w:r>
        <w:rPr>
          <w:rFonts w:eastAsiaTheme="minorEastAsia"/>
        </w:rPr>
        <w:t>50W/cm</w:t>
      </w:r>
      <w:r>
        <w:rPr>
          <w:rFonts w:eastAsiaTheme="minorEastAsia"/>
          <w:vertAlign w:val="superscript"/>
        </w:rPr>
        <w:t>2</w:t>
      </w:r>
      <w:r>
        <w:rPr>
          <w:rFonts w:eastAsiaTheme="minorEastAsia"/>
        </w:rPr>
        <w:t>的电子器件冷却，均温效果显著胜过纯金属或嵌热管式散热基板</w:t>
      </w:r>
      <w:r>
        <w:rPr>
          <w:rFonts w:eastAsiaTheme="minorEastAsia" w:hint="eastAsia"/>
        </w:rPr>
        <w:t>，能够大幅提升散热器效率。</w:t>
      </w:r>
    </w:p>
    <w:p w:rsidR="008051C6" w:rsidRDefault="008051C6">
      <w:pPr>
        <w:spacing w:line="288" w:lineRule="auto"/>
        <w:ind w:firstLineChars="200" w:firstLine="420"/>
      </w:pPr>
    </w:p>
    <w:p w:rsidR="008051C6" w:rsidRDefault="00B71A13">
      <w:pPr>
        <w:spacing w:line="288" w:lineRule="auto"/>
        <w:jc w:val="center"/>
        <w:rPr>
          <w:rFonts w:eastAsia="MS Mincho"/>
        </w:rPr>
      </w:pPr>
      <w:r>
        <w:rPr>
          <w:rFonts w:eastAsia="MS Mincho"/>
          <w:noProof/>
        </w:rPr>
        <w:drawing>
          <wp:inline distT="0" distB="0" distL="114300" distR="114300">
            <wp:extent cx="5076825" cy="1141730"/>
            <wp:effectExtent l="0" t="0" r="0" b="127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stretch>
                      <a:fillRect/>
                    </a:stretch>
                  </pic:blipFill>
                  <pic:spPr>
                    <a:xfrm>
                      <a:off x="0" y="0"/>
                      <a:ext cx="5076825" cy="1141730"/>
                    </a:xfrm>
                    <a:prstGeom prst="rect">
                      <a:avLst/>
                    </a:prstGeom>
                    <a:noFill/>
                    <a:ln>
                      <a:noFill/>
                    </a:ln>
                  </pic:spPr>
                </pic:pic>
              </a:graphicData>
            </a:graphic>
          </wp:inline>
        </w:drawing>
      </w:r>
    </w:p>
    <w:p w:rsidR="008051C6" w:rsidRDefault="00B71A13">
      <w:pPr>
        <w:spacing w:line="288" w:lineRule="auto"/>
        <w:jc w:val="center"/>
        <w:rPr>
          <w:rFonts w:eastAsiaTheme="minorEastAsia"/>
        </w:rPr>
      </w:pPr>
      <w:r>
        <w:rPr>
          <w:rFonts w:hint="eastAsia"/>
          <w:sz w:val="18"/>
          <w:szCs w:val="18"/>
        </w:rPr>
        <w:t>图</w:t>
      </w:r>
      <w:r>
        <w:rPr>
          <w:rFonts w:hint="eastAsia"/>
          <w:sz w:val="18"/>
          <w:szCs w:val="18"/>
        </w:rPr>
        <w:t>3 VC</w:t>
      </w:r>
      <w:r>
        <w:rPr>
          <w:rFonts w:hint="eastAsia"/>
          <w:sz w:val="18"/>
          <w:szCs w:val="18"/>
        </w:rPr>
        <w:t>均热板结构原理</w:t>
      </w:r>
    </w:p>
    <w:p w:rsidR="008051C6" w:rsidRDefault="00B71A13">
      <w:pPr>
        <w:spacing w:line="288" w:lineRule="auto"/>
        <w:ind w:firstLineChars="200" w:firstLine="420"/>
        <w:rPr>
          <w:rFonts w:eastAsiaTheme="minorEastAsia"/>
        </w:rPr>
      </w:pPr>
      <w:r>
        <w:rPr>
          <w:rFonts w:eastAsiaTheme="minorEastAsia"/>
        </w:rPr>
        <w:t>VC</w:t>
      </w:r>
      <w:r>
        <w:rPr>
          <w:rFonts w:eastAsiaTheme="minorEastAsia"/>
        </w:rPr>
        <w:t>的壳体通常</w:t>
      </w:r>
      <w:r>
        <w:rPr>
          <w:rFonts w:eastAsiaTheme="minorEastAsia" w:hint="eastAsia"/>
        </w:rPr>
        <w:t>采用</w:t>
      </w:r>
      <w:r>
        <w:rPr>
          <w:rFonts w:eastAsiaTheme="minorEastAsia"/>
        </w:rPr>
        <w:t>金属材料</w:t>
      </w:r>
      <w:r>
        <w:rPr>
          <w:rFonts w:eastAsiaTheme="minorEastAsia" w:hint="eastAsia"/>
        </w:rPr>
        <w:t>，包括铜、钛、铝、不锈钢等。</w:t>
      </w:r>
      <w:r>
        <w:rPr>
          <w:rFonts w:eastAsiaTheme="minorEastAsia"/>
        </w:rPr>
        <w:t>因铜材的导热性能好，具有良好的机械加工性能和焊接性能，成型工艺相对简单、精度较高</w:t>
      </w:r>
      <w:r>
        <w:rPr>
          <w:rFonts w:eastAsiaTheme="minorEastAsia" w:hint="eastAsia"/>
        </w:rPr>
        <w:t>，</w:t>
      </w:r>
      <w:r>
        <w:rPr>
          <w:rFonts w:eastAsiaTheme="minorEastAsia"/>
        </w:rPr>
        <w:t>目前绝大部分</w:t>
      </w:r>
      <w:r>
        <w:rPr>
          <w:rFonts w:eastAsiaTheme="minorEastAsia"/>
        </w:rPr>
        <w:t>VC</w:t>
      </w:r>
      <w:r>
        <w:rPr>
          <w:rFonts w:eastAsiaTheme="minorEastAsia"/>
        </w:rPr>
        <w:t>都采</w:t>
      </w:r>
      <w:r>
        <w:rPr>
          <w:rFonts w:eastAsiaTheme="minorEastAsia"/>
        </w:rPr>
        <w:lastRenderedPageBreak/>
        <w:t>用铜材薄板冲压成型而制成。</w:t>
      </w:r>
      <w:r>
        <w:rPr>
          <w:rFonts w:eastAsiaTheme="minorEastAsia" w:hint="eastAsia"/>
        </w:rPr>
        <w:t>而在军工或航空航天领域，为了实现轻量化，通常使用铝材作为</w:t>
      </w:r>
      <w:r>
        <w:rPr>
          <w:rFonts w:eastAsiaTheme="minorEastAsia" w:hint="eastAsia"/>
        </w:rPr>
        <w:t>VC</w:t>
      </w:r>
      <w:r>
        <w:rPr>
          <w:rFonts w:eastAsiaTheme="minorEastAsia" w:hint="eastAsia"/>
        </w:rPr>
        <w:t>的壳体材料。近年来，为了满足降本降重的市场需求，在民用产品散热领域，也逐步开展了对铝基两相散热器的探索。</w:t>
      </w:r>
    </w:p>
    <w:p w:rsidR="008051C6" w:rsidRDefault="00B71A13">
      <w:pPr>
        <w:spacing w:line="288" w:lineRule="auto"/>
        <w:jc w:val="center"/>
        <w:rPr>
          <w:rFonts w:eastAsiaTheme="minorEastAsia"/>
          <w:sz w:val="18"/>
          <w:szCs w:val="18"/>
        </w:rPr>
      </w:pPr>
      <w:r>
        <w:rPr>
          <w:rFonts w:eastAsiaTheme="minorEastAsia" w:hint="eastAsia"/>
          <w:sz w:val="18"/>
          <w:szCs w:val="18"/>
        </w:rPr>
        <w:t>表</w:t>
      </w:r>
      <w:r>
        <w:rPr>
          <w:rFonts w:eastAsiaTheme="minorEastAsia" w:hint="eastAsia"/>
          <w:sz w:val="18"/>
          <w:szCs w:val="18"/>
        </w:rPr>
        <w:t xml:space="preserve">1 </w:t>
      </w:r>
      <w:r>
        <w:rPr>
          <w:rFonts w:eastAsiaTheme="minorEastAsia" w:hint="eastAsia"/>
          <w:sz w:val="18"/>
          <w:szCs w:val="18"/>
        </w:rPr>
        <w:t>钛、铜、铝性能对比</w:t>
      </w:r>
    </w:p>
    <w:p w:rsidR="008051C6" w:rsidRDefault="00B71A13">
      <w:pPr>
        <w:spacing w:line="288" w:lineRule="auto"/>
        <w:jc w:val="center"/>
      </w:pPr>
      <w:r>
        <w:rPr>
          <w:noProof/>
        </w:rPr>
        <w:drawing>
          <wp:inline distT="0" distB="0" distL="114300" distR="114300">
            <wp:extent cx="5272405" cy="692785"/>
            <wp:effectExtent l="0" t="0" r="4445" b="1206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5272405" cy="692785"/>
                    </a:xfrm>
                    <a:prstGeom prst="rect">
                      <a:avLst/>
                    </a:prstGeom>
                    <a:noFill/>
                    <a:ln>
                      <a:noFill/>
                    </a:ln>
                  </pic:spPr>
                </pic:pic>
              </a:graphicData>
            </a:graphic>
          </wp:inline>
        </w:drawing>
      </w:r>
    </w:p>
    <w:p w:rsidR="008051C6" w:rsidRDefault="00B71A13">
      <w:pPr>
        <w:spacing w:line="288" w:lineRule="auto"/>
        <w:ind w:firstLineChars="200" w:firstLine="420"/>
      </w:pPr>
      <w:r>
        <w:rPr>
          <w:rFonts w:hint="eastAsia"/>
        </w:rPr>
        <w:t>与铜</w:t>
      </w:r>
      <w:r>
        <w:rPr>
          <w:rFonts w:hint="eastAsia"/>
        </w:rPr>
        <w:t>VC</w:t>
      </w:r>
      <w:r>
        <w:rPr>
          <w:rFonts w:hint="eastAsia"/>
        </w:rPr>
        <w:t>相比，铝</w:t>
      </w:r>
      <w:r>
        <w:rPr>
          <w:rFonts w:hint="eastAsia"/>
        </w:rPr>
        <w:t>VC</w:t>
      </w:r>
      <w:r>
        <w:rPr>
          <w:rFonts w:hint="eastAsia"/>
        </w:rPr>
        <w:t>主要有以下两个差异点：</w:t>
      </w:r>
      <w:r>
        <w:rPr>
          <w:rFonts w:hint="eastAsia"/>
        </w:rPr>
        <w:t>1</w:t>
      </w:r>
      <w:r>
        <w:rPr>
          <w:rFonts w:hint="eastAsia"/>
        </w:rPr>
        <w:t>、铝材与水不相容，容易发生反应生成不凝气体；</w:t>
      </w:r>
      <w:r>
        <w:rPr>
          <w:rFonts w:hint="eastAsia"/>
        </w:rPr>
        <w:t>2</w:t>
      </w:r>
      <w:r>
        <w:rPr>
          <w:rFonts w:hint="eastAsia"/>
        </w:rPr>
        <w:t>、铝材加工性能和焊接性能较差。这两点的存在，也是造成铝</w:t>
      </w:r>
      <w:r>
        <w:rPr>
          <w:rFonts w:hint="eastAsia"/>
        </w:rPr>
        <w:t>VC</w:t>
      </w:r>
      <w:r>
        <w:rPr>
          <w:rFonts w:hint="eastAsia"/>
        </w:rPr>
        <w:t>性能难以持续提升的主要原因。</w:t>
      </w:r>
    </w:p>
    <w:p w:rsidR="008051C6" w:rsidRDefault="00B71A13">
      <w:pPr>
        <w:spacing w:line="288" w:lineRule="auto"/>
        <w:ind w:firstLineChars="200" w:firstLine="420"/>
        <w:rPr>
          <w:bCs/>
        </w:rPr>
      </w:pPr>
      <w:r>
        <w:rPr>
          <w:rFonts w:hint="eastAsia"/>
        </w:rPr>
        <w:t>两相散热器中，工质基于工作温区、材料相容性、热物性等因素进行选择。由于相容性的问题，铝</w:t>
      </w:r>
      <w:r>
        <w:rPr>
          <w:rFonts w:hint="eastAsia"/>
        </w:rPr>
        <w:t>VC</w:t>
      </w:r>
      <w:r>
        <w:rPr>
          <w:rFonts w:hint="eastAsia"/>
        </w:rPr>
        <w:t>主要选用冷媒</w:t>
      </w:r>
      <w:r>
        <w:rPr>
          <w:rFonts w:hint="eastAsia"/>
        </w:rPr>
        <w:t>工质（如</w:t>
      </w:r>
      <w:r>
        <w:rPr>
          <w:rFonts w:hint="eastAsia"/>
        </w:rPr>
        <w:t>R1233zd</w:t>
      </w:r>
      <w:r>
        <w:rPr>
          <w:rFonts w:hint="eastAsia"/>
        </w:rPr>
        <w:t>、</w:t>
      </w:r>
      <w:r>
        <w:rPr>
          <w:rFonts w:hint="eastAsia"/>
        </w:rPr>
        <w:t>R134a</w:t>
      </w:r>
      <w:r>
        <w:rPr>
          <w:rFonts w:hint="eastAsia"/>
        </w:rPr>
        <w:t>等），这类工质作为冷却</w:t>
      </w:r>
      <w:r>
        <w:rPr>
          <w:rFonts w:hint="eastAsia"/>
          <w:bCs/>
        </w:rPr>
        <w:t>介质已有较成熟的民用基础。然而，相较于铜</w:t>
      </w:r>
      <w:r>
        <w:rPr>
          <w:rFonts w:hint="eastAsia"/>
          <w:bCs/>
        </w:rPr>
        <w:t>VC</w:t>
      </w:r>
      <w:r>
        <w:rPr>
          <w:rFonts w:hint="eastAsia"/>
          <w:bCs/>
        </w:rPr>
        <w:t>中使用的工质—水，冷媒的表面张力及汽化潜热较低，导致铝</w:t>
      </w:r>
      <w:r>
        <w:rPr>
          <w:rFonts w:hint="eastAsia"/>
          <w:bCs/>
        </w:rPr>
        <w:t>VC</w:t>
      </w:r>
      <w:r>
        <w:rPr>
          <w:rFonts w:hint="eastAsia"/>
          <w:bCs/>
        </w:rPr>
        <w:t>中工质回流速度和传热能力均不如铜</w:t>
      </w:r>
      <w:r>
        <w:rPr>
          <w:rFonts w:hint="eastAsia"/>
          <w:bCs/>
        </w:rPr>
        <w:t>VC</w:t>
      </w:r>
      <w:r>
        <w:rPr>
          <w:rFonts w:hint="eastAsia"/>
          <w:bCs/>
        </w:rPr>
        <w:t>，也使得铝</w:t>
      </w:r>
      <w:r>
        <w:rPr>
          <w:rFonts w:hint="eastAsia"/>
          <w:bCs/>
        </w:rPr>
        <w:t>VC</w:t>
      </w:r>
      <w:r>
        <w:rPr>
          <w:rFonts w:hint="eastAsia"/>
          <w:bCs/>
        </w:rPr>
        <w:t>性能相对铜</w:t>
      </w:r>
      <w:r>
        <w:rPr>
          <w:rFonts w:hint="eastAsia"/>
          <w:bCs/>
        </w:rPr>
        <w:t>VC</w:t>
      </w:r>
      <w:r>
        <w:rPr>
          <w:rFonts w:hint="eastAsia"/>
          <w:bCs/>
        </w:rPr>
        <w:t>存在一定差</w:t>
      </w:r>
      <w:r>
        <w:rPr>
          <w:rFonts w:hint="eastAsia"/>
          <w:bCs/>
        </w:rPr>
        <w:t>距。</w:t>
      </w:r>
    </w:p>
    <w:p w:rsidR="008051C6" w:rsidRDefault="00B71A13">
      <w:pPr>
        <w:spacing w:line="288" w:lineRule="auto"/>
        <w:ind w:firstLineChars="200" w:firstLine="420"/>
        <w:rPr>
          <w:bCs/>
        </w:rPr>
      </w:pPr>
      <w:r>
        <w:rPr>
          <w:bCs/>
        </w:rPr>
        <w:t>毛细芯（或称吸液芯）是热管、</w:t>
      </w:r>
      <w:r>
        <w:rPr>
          <w:bCs/>
        </w:rPr>
        <w:t>VC</w:t>
      </w:r>
      <w:r>
        <w:rPr>
          <w:bCs/>
        </w:rPr>
        <w:t>等毛细驱动热输送或热扩散装置的重要组成部分，其结构型式直接影响到传热换热的性能</w:t>
      </w:r>
      <w:r>
        <w:rPr>
          <w:rFonts w:hint="eastAsia"/>
          <w:bCs/>
        </w:rPr>
        <w:t>与热流密度承载能力</w:t>
      </w:r>
      <w:r>
        <w:rPr>
          <w:bCs/>
        </w:rPr>
        <w:t>。</w:t>
      </w:r>
      <w:r>
        <w:rPr>
          <w:rFonts w:hint="eastAsia"/>
          <w:bCs/>
        </w:rPr>
        <w:t>考虑到铝材加工工艺可行性，铝</w:t>
      </w:r>
      <w:r>
        <w:rPr>
          <w:rFonts w:hint="eastAsia"/>
          <w:bCs/>
        </w:rPr>
        <w:t>VC</w:t>
      </w:r>
      <w:r>
        <w:rPr>
          <w:rFonts w:hint="eastAsia"/>
          <w:bCs/>
        </w:rPr>
        <w:t>采用的毛细芯结构主要包括：沟槽型、粉末烧结型、纤维烧结型、编织网型。就目前情况来看，铝材极易在表面形成一层致密的氧化膜，而氧化铝熔点高达</w:t>
      </w:r>
      <w:r>
        <w:rPr>
          <w:rFonts w:hint="eastAsia"/>
          <w:bCs/>
        </w:rPr>
        <w:t>2000</w:t>
      </w:r>
      <w:r>
        <w:rPr>
          <w:rFonts w:hint="eastAsia"/>
          <w:bCs/>
        </w:rPr>
        <w:t>℃，会对铝粉的烧结、焊接带来影响。因此，铝</w:t>
      </w:r>
      <w:r>
        <w:rPr>
          <w:rFonts w:hint="eastAsia"/>
          <w:bCs/>
        </w:rPr>
        <w:t>VC</w:t>
      </w:r>
      <w:r>
        <w:rPr>
          <w:rFonts w:hint="eastAsia"/>
          <w:bCs/>
        </w:rPr>
        <w:t>的加工环境要求比铜</w:t>
      </w:r>
      <w:r>
        <w:rPr>
          <w:rFonts w:hint="eastAsia"/>
          <w:bCs/>
        </w:rPr>
        <w:t>VC</w:t>
      </w:r>
      <w:r>
        <w:rPr>
          <w:rFonts w:hint="eastAsia"/>
          <w:bCs/>
        </w:rPr>
        <w:t>更为苛刻，热处理工艺（比如烧结、焊接）均需要在真空或还原剂保护下进行。</w:t>
      </w:r>
    </w:p>
    <w:p w:rsidR="008051C6" w:rsidRDefault="00B71A13">
      <w:pPr>
        <w:spacing w:line="288" w:lineRule="auto"/>
        <w:jc w:val="center"/>
        <w:rPr>
          <w:bCs/>
        </w:rPr>
      </w:pPr>
      <w:r>
        <w:rPr>
          <w:noProof/>
        </w:rPr>
        <w:drawing>
          <wp:inline distT="0" distB="0" distL="114300" distR="114300">
            <wp:extent cx="5265420" cy="2596515"/>
            <wp:effectExtent l="0" t="0" r="11430" b="1333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2"/>
                    <a:stretch>
                      <a:fillRect/>
                    </a:stretch>
                  </pic:blipFill>
                  <pic:spPr>
                    <a:xfrm>
                      <a:off x="0" y="0"/>
                      <a:ext cx="5265420" cy="2596515"/>
                    </a:xfrm>
                    <a:prstGeom prst="rect">
                      <a:avLst/>
                    </a:prstGeom>
                    <a:noFill/>
                    <a:ln>
                      <a:noFill/>
                    </a:ln>
                  </pic:spPr>
                </pic:pic>
              </a:graphicData>
            </a:graphic>
          </wp:inline>
        </w:drawing>
      </w:r>
    </w:p>
    <w:p w:rsidR="008051C6" w:rsidRDefault="00B71A13">
      <w:pPr>
        <w:spacing w:line="288" w:lineRule="auto"/>
        <w:jc w:val="center"/>
        <w:rPr>
          <w:vertAlign w:val="superscript"/>
        </w:rPr>
      </w:pPr>
      <w:r>
        <w:rPr>
          <w:rFonts w:hint="eastAsia"/>
          <w:sz w:val="18"/>
          <w:szCs w:val="18"/>
        </w:rPr>
        <w:t>图</w:t>
      </w:r>
      <w:r>
        <w:rPr>
          <w:rFonts w:hint="eastAsia"/>
          <w:sz w:val="18"/>
          <w:szCs w:val="18"/>
        </w:rPr>
        <w:t xml:space="preserve">4 </w:t>
      </w:r>
      <w:r>
        <w:rPr>
          <w:rFonts w:hint="eastAsia"/>
          <w:sz w:val="18"/>
          <w:szCs w:val="18"/>
        </w:rPr>
        <w:t>毛细吸液芯形态</w:t>
      </w:r>
      <w:r>
        <w:rPr>
          <w:rFonts w:hint="eastAsia"/>
          <w:sz w:val="18"/>
          <w:szCs w:val="18"/>
          <w:vertAlign w:val="superscript"/>
        </w:rPr>
        <w:t>[1]</w:t>
      </w:r>
    </w:p>
    <w:p w:rsidR="008051C6" w:rsidRDefault="00B71A13">
      <w:pPr>
        <w:spacing w:line="288" w:lineRule="auto"/>
        <w:ind w:firstLineChars="200" w:firstLine="420"/>
        <w:rPr>
          <w:bCs/>
        </w:rPr>
      </w:pPr>
      <w:r>
        <w:rPr>
          <w:rFonts w:hint="eastAsia"/>
          <w:bCs/>
        </w:rPr>
        <w:t>以上这些型式可以看作是毛细芯</w:t>
      </w:r>
      <w:r>
        <w:rPr>
          <w:rFonts w:hint="eastAsia"/>
          <w:bCs/>
        </w:rPr>
        <w:t>的基本结构，而为了进一步提升铝</w:t>
      </w:r>
      <w:r>
        <w:rPr>
          <w:rFonts w:hint="eastAsia"/>
          <w:bCs/>
        </w:rPr>
        <w:t>VC</w:t>
      </w:r>
      <w:r>
        <w:rPr>
          <w:rFonts w:hint="eastAsia"/>
          <w:bCs/>
        </w:rPr>
        <w:t>的热扩散性能与热流密度承载能力，学术界也对其进行了一些更为细致的研究：</w:t>
      </w:r>
      <w:r>
        <w:rPr>
          <w:rFonts w:hint="eastAsia"/>
          <w:bCs/>
        </w:rPr>
        <w:t>通过犁切</w:t>
      </w:r>
      <w:r>
        <w:rPr>
          <w:rFonts w:hint="eastAsia"/>
          <w:bCs/>
        </w:rPr>
        <w:t>-</w:t>
      </w:r>
      <w:r>
        <w:rPr>
          <w:rFonts w:hint="eastAsia"/>
          <w:bCs/>
        </w:rPr>
        <w:t>挤压工艺，在铝板上加工出高深宽比槽道，作为铝</w:t>
      </w:r>
      <w:r>
        <w:rPr>
          <w:rFonts w:hint="eastAsia"/>
          <w:bCs/>
        </w:rPr>
        <w:t>VC</w:t>
      </w:r>
      <w:r>
        <w:rPr>
          <w:rFonts w:hint="eastAsia"/>
          <w:bCs/>
        </w:rPr>
        <w:t>的毛细结构，如图</w:t>
      </w:r>
      <w:r>
        <w:rPr>
          <w:rFonts w:hint="eastAsia"/>
          <w:bCs/>
        </w:rPr>
        <w:t>5</w:t>
      </w:r>
      <w:r>
        <w:rPr>
          <w:rFonts w:hint="eastAsia"/>
          <w:bCs/>
        </w:rPr>
        <w:t>所示</w:t>
      </w:r>
      <w:r>
        <w:rPr>
          <w:rFonts w:hint="eastAsia"/>
          <w:bCs/>
          <w:vertAlign w:val="superscript"/>
        </w:rPr>
        <w:t>[2]</w:t>
      </w:r>
      <w:r>
        <w:rPr>
          <w:rFonts w:hint="eastAsia"/>
          <w:bCs/>
        </w:rPr>
        <w:t>；通过在铝基板上加工辐</w:t>
      </w:r>
      <w:r>
        <w:rPr>
          <w:rFonts w:hint="eastAsia"/>
          <w:bCs/>
        </w:rPr>
        <w:lastRenderedPageBreak/>
        <w:t>射微通道，建立冷媒工质循环回路，如图</w:t>
      </w:r>
      <w:r>
        <w:rPr>
          <w:rFonts w:hint="eastAsia"/>
          <w:bCs/>
        </w:rPr>
        <w:t>6</w:t>
      </w:r>
      <w:r>
        <w:rPr>
          <w:rFonts w:hint="eastAsia"/>
          <w:bCs/>
        </w:rPr>
        <w:t>所示</w:t>
      </w:r>
      <w:r>
        <w:rPr>
          <w:rFonts w:hint="eastAsia"/>
          <w:bCs/>
          <w:vertAlign w:val="superscript"/>
        </w:rPr>
        <w:t>[3]</w:t>
      </w:r>
      <w:r>
        <w:rPr>
          <w:rFonts w:hint="eastAsia"/>
          <w:bCs/>
        </w:rPr>
        <w:t>。其目的均在于避免铝材的热加工，以更简单的工艺实现毛细芯的加工。</w:t>
      </w:r>
    </w:p>
    <w:p w:rsidR="008051C6" w:rsidRDefault="00B71A13">
      <w:pPr>
        <w:spacing w:line="288" w:lineRule="auto"/>
        <w:jc w:val="center"/>
      </w:pPr>
      <w:r>
        <w:rPr>
          <w:noProof/>
        </w:rPr>
        <w:drawing>
          <wp:inline distT="0" distB="0" distL="114300" distR="114300">
            <wp:extent cx="2465070" cy="2192655"/>
            <wp:effectExtent l="0" t="0" r="11430" b="1714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3"/>
                    <a:stretch>
                      <a:fillRect/>
                    </a:stretch>
                  </pic:blipFill>
                  <pic:spPr>
                    <a:xfrm>
                      <a:off x="0" y="0"/>
                      <a:ext cx="2465070" cy="2192655"/>
                    </a:xfrm>
                    <a:prstGeom prst="rect">
                      <a:avLst/>
                    </a:prstGeom>
                    <a:noFill/>
                    <a:ln>
                      <a:noFill/>
                    </a:ln>
                  </pic:spPr>
                </pic:pic>
              </a:graphicData>
            </a:graphic>
          </wp:inline>
        </w:drawing>
      </w:r>
    </w:p>
    <w:p w:rsidR="008051C6" w:rsidRDefault="00B71A13">
      <w:pPr>
        <w:spacing w:line="288" w:lineRule="auto"/>
        <w:jc w:val="center"/>
      </w:pPr>
      <w:r>
        <w:rPr>
          <w:rFonts w:hint="eastAsia"/>
          <w:sz w:val="18"/>
          <w:szCs w:val="18"/>
        </w:rPr>
        <w:t>图</w:t>
      </w:r>
      <w:r>
        <w:rPr>
          <w:rFonts w:hint="eastAsia"/>
          <w:sz w:val="18"/>
          <w:szCs w:val="18"/>
        </w:rPr>
        <w:t xml:space="preserve">5 </w:t>
      </w:r>
      <w:r>
        <w:rPr>
          <w:rFonts w:hint="eastAsia"/>
          <w:sz w:val="18"/>
          <w:szCs w:val="18"/>
        </w:rPr>
        <w:t>犁切</w:t>
      </w:r>
      <w:r>
        <w:rPr>
          <w:rFonts w:hint="eastAsia"/>
          <w:sz w:val="18"/>
          <w:szCs w:val="18"/>
        </w:rPr>
        <w:t>-</w:t>
      </w:r>
      <w:r>
        <w:rPr>
          <w:rFonts w:hint="eastAsia"/>
          <w:sz w:val="18"/>
          <w:szCs w:val="18"/>
        </w:rPr>
        <w:t>挤压沟槽铝</w:t>
      </w:r>
      <w:r>
        <w:rPr>
          <w:rFonts w:hint="eastAsia"/>
          <w:sz w:val="18"/>
          <w:szCs w:val="18"/>
        </w:rPr>
        <w:t>VC</w:t>
      </w:r>
      <w:r>
        <w:rPr>
          <w:rFonts w:hint="eastAsia"/>
          <w:sz w:val="18"/>
          <w:szCs w:val="18"/>
        </w:rPr>
        <w:t>表面</w:t>
      </w:r>
    </w:p>
    <w:p w:rsidR="008051C6" w:rsidRDefault="00B71A13">
      <w:pPr>
        <w:spacing w:line="288" w:lineRule="auto"/>
        <w:jc w:val="center"/>
      </w:pPr>
      <w:r>
        <w:rPr>
          <w:noProof/>
        </w:rPr>
        <w:drawing>
          <wp:inline distT="0" distB="0" distL="114300" distR="114300">
            <wp:extent cx="3033395" cy="1666875"/>
            <wp:effectExtent l="0" t="0" r="14605" b="952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4"/>
                    <a:stretch>
                      <a:fillRect/>
                    </a:stretch>
                  </pic:blipFill>
                  <pic:spPr>
                    <a:xfrm>
                      <a:off x="0" y="0"/>
                      <a:ext cx="3033395" cy="1666875"/>
                    </a:xfrm>
                    <a:prstGeom prst="rect">
                      <a:avLst/>
                    </a:prstGeom>
                    <a:noFill/>
                    <a:ln>
                      <a:noFill/>
                    </a:ln>
                  </pic:spPr>
                </pic:pic>
              </a:graphicData>
            </a:graphic>
          </wp:inline>
        </w:drawing>
      </w:r>
    </w:p>
    <w:p w:rsidR="008051C6" w:rsidRDefault="00B71A13">
      <w:pPr>
        <w:spacing w:line="288" w:lineRule="auto"/>
        <w:jc w:val="center"/>
      </w:pPr>
      <w:r>
        <w:rPr>
          <w:rFonts w:hint="eastAsia"/>
          <w:sz w:val="18"/>
          <w:szCs w:val="18"/>
        </w:rPr>
        <w:t>图</w:t>
      </w:r>
      <w:r>
        <w:rPr>
          <w:rFonts w:hint="eastAsia"/>
          <w:sz w:val="18"/>
          <w:szCs w:val="18"/>
        </w:rPr>
        <w:t xml:space="preserve">6 </w:t>
      </w:r>
      <w:r>
        <w:rPr>
          <w:rFonts w:hint="eastAsia"/>
          <w:sz w:val="18"/>
          <w:szCs w:val="18"/>
        </w:rPr>
        <w:t>放射性沟槽铝</w:t>
      </w:r>
      <w:r>
        <w:rPr>
          <w:rFonts w:hint="eastAsia"/>
          <w:sz w:val="18"/>
          <w:szCs w:val="18"/>
        </w:rPr>
        <w:t>VC</w:t>
      </w:r>
      <w:r>
        <w:rPr>
          <w:rFonts w:hint="eastAsia"/>
          <w:sz w:val="18"/>
          <w:szCs w:val="18"/>
        </w:rPr>
        <w:t>（</w:t>
      </w:r>
      <w:r>
        <w:rPr>
          <w:rFonts w:hint="eastAsia"/>
          <w:sz w:val="18"/>
          <w:szCs w:val="18"/>
        </w:rPr>
        <w:t>a</w:t>
      </w:r>
      <w:r>
        <w:rPr>
          <w:rFonts w:hint="eastAsia"/>
          <w:sz w:val="18"/>
          <w:szCs w:val="18"/>
        </w:rPr>
        <w:t>）盖板面（</w:t>
      </w:r>
      <w:r>
        <w:rPr>
          <w:rFonts w:hint="eastAsia"/>
          <w:sz w:val="18"/>
          <w:szCs w:val="18"/>
        </w:rPr>
        <w:t>b</w:t>
      </w:r>
      <w:r>
        <w:rPr>
          <w:rFonts w:hint="eastAsia"/>
          <w:sz w:val="18"/>
          <w:szCs w:val="18"/>
        </w:rPr>
        <w:t>）底面</w:t>
      </w:r>
    </w:p>
    <w:p w:rsidR="008051C6" w:rsidRDefault="00B71A13">
      <w:pPr>
        <w:spacing w:line="288" w:lineRule="auto"/>
        <w:ind w:firstLineChars="200" w:firstLine="420"/>
      </w:pPr>
      <w:r>
        <w:rPr>
          <w:rFonts w:hint="eastAsia"/>
        </w:rPr>
        <w:t>此外，在铝</w:t>
      </w:r>
      <w:r>
        <w:rPr>
          <w:rFonts w:hint="eastAsia"/>
        </w:rPr>
        <w:t>VC</w:t>
      </w:r>
      <w:r>
        <w:rPr>
          <w:rFonts w:hint="eastAsia"/>
        </w:rPr>
        <w:t>的基础上，为了进一步提升散热器竖直方向上的均温性能，铝</w:t>
      </w:r>
      <w:r>
        <w:rPr>
          <w:rFonts w:hint="eastAsia"/>
        </w:rPr>
        <w:t>3DVC</w:t>
      </w:r>
      <w:r>
        <w:rPr>
          <w:rFonts w:hint="eastAsia"/>
        </w:rPr>
        <w:t>也开始蓬勃发展。铝</w:t>
      </w:r>
      <w:r>
        <w:rPr>
          <w:rFonts w:hint="eastAsia"/>
        </w:rPr>
        <w:t>3DV</w:t>
      </w:r>
      <w:r>
        <w:rPr>
          <w:rFonts w:hint="eastAsia"/>
        </w:rPr>
        <w:t>C</w:t>
      </w:r>
      <w:r>
        <w:rPr>
          <w:rFonts w:hint="eastAsia"/>
        </w:rPr>
        <w:t>散热器可视作由水平</w:t>
      </w:r>
      <w:r>
        <w:rPr>
          <w:rFonts w:hint="eastAsia"/>
        </w:rPr>
        <w:t>VC</w:t>
      </w:r>
      <w:r>
        <w:rPr>
          <w:rFonts w:hint="eastAsia"/>
        </w:rPr>
        <w:t>与竖直</w:t>
      </w:r>
      <w:r>
        <w:rPr>
          <w:rFonts w:hint="eastAsia"/>
        </w:rPr>
        <w:t>VC</w:t>
      </w:r>
      <w:r>
        <w:rPr>
          <w:rFonts w:hint="eastAsia"/>
        </w:rPr>
        <w:t>组合而成，两者一体焊接成型，内部空腔连为一体。工质在热源区受热沸腾蒸发后，蒸汽工质不仅在二维方向上扩散，也沿着竖直空腔向上扩散，实现热量在三维方向上的传递。铝</w:t>
      </w:r>
      <w:r>
        <w:rPr>
          <w:rFonts w:hint="eastAsia"/>
        </w:rPr>
        <w:t>3DVC</w:t>
      </w:r>
      <w:r>
        <w:rPr>
          <w:rFonts w:hint="eastAsia"/>
        </w:rPr>
        <w:t>在大幅提升翅片效率，降低散热器热阻的同时，还能实现散热器的降本降重，具有良好的应用前景。</w:t>
      </w:r>
    </w:p>
    <w:p w:rsidR="008051C6" w:rsidRDefault="00B71A13">
      <w:pPr>
        <w:spacing w:line="288" w:lineRule="auto"/>
        <w:jc w:val="center"/>
      </w:pPr>
      <w:r>
        <w:rPr>
          <w:noProof/>
        </w:rPr>
        <w:drawing>
          <wp:inline distT="0" distB="0" distL="114300" distR="114300">
            <wp:extent cx="3416300" cy="2529840"/>
            <wp:effectExtent l="0" t="0" r="12700" b="381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5"/>
                    <a:stretch>
                      <a:fillRect/>
                    </a:stretch>
                  </pic:blipFill>
                  <pic:spPr>
                    <a:xfrm>
                      <a:off x="0" y="0"/>
                      <a:ext cx="3416300" cy="2529840"/>
                    </a:xfrm>
                    <a:prstGeom prst="rect">
                      <a:avLst/>
                    </a:prstGeom>
                    <a:noFill/>
                    <a:ln>
                      <a:noFill/>
                    </a:ln>
                  </pic:spPr>
                </pic:pic>
              </a:graphicData>
            </a:graphic>
          </wp:inline>
        </w:drawing>
      </w:r>
    </w:p>
    <w:p w:rsidR="008051C6" w:rsidRDefault="00B71A13">
      <w:pPr>
        <w:spacing w:line="288" w:lineRule="auto"/>
        <w:jc w:val="center"/>
        <w:rPr>
          <w:sz w:val="18"/>
          <w:szCs w:val="18"/>
        </w:rPr>
      </w:pPr>
      <w:r>
        <w:rPr>
          <w:rFonts w:hint="eastAsia"/>
          <w:sz w:val="18"/>
          <w:szCs w:val="18"/>
        </w:rPr>
        <w:lastRenderedPageBreak/>
        <w:t>图</w:t>
      </w:r>
      <w:r>
        <w:rPr>
          <w:rFonts w:hint="eastAsia"/>
          <w:sz w:val="18"/>
          <w:szCs w:val="18"/>
        </w:rPr>
        <w:t xml:space="preserve">7 </w:t>
      </w:r>
      <w:r>
        <w:rPr>
          <w:rFonts w:hint="eastAsia"/>
          <w:sz w:val="18"/>
          <w:szCs w:val="18"/>
        </w:rPr>
        <w:t>铝</w:t>
      </w:r>
      <w:r>
        <w:rPr>
          <w:rFonts w:hint="eastAsia"/>
          <w:sz w:val="18"/>
          <w:szCs w:val="18"/>
        </w:rPr>
        <w:t>3DVC</w:t>
      </w:r>
      <w:r>
        <w:rPr>
          <w:rFonts w:hint="eastAsia"/>
          <w:sz w:val="18"/>
          <w:szCs w:val="18"/>
        </w:rPr>
        <w:t>散热器基本原理</w:t>
      </w:r>
    </w:p>
    <w:p w:rsidR="008051C6" w:rsidRDefault="00B71A13">
      <w:pPr>
        <w:spacing w:line="288" w:lineRule="auto"/>
        <w:ind w:firstLineChars="200" w:firstLine="420"/>
      </w:pPr>
      <w:r>
        <w:t>不同于</w:t>
      </w:r>
      <w:r>
        <w:rPr>
          <w:rFonts w:hint="eastAsia"/>
        </w:rPr>
        <w:t>铜基两相散热器较为</w:t>
      </w:r>
      <w:r>
        <w:t>成熟的工艺，</w:t>
      </w:r>
      <w:r>
        <w:rPr>
          <w:rFonts w:hint="eastAsia"/>
        </w:rPr>
        <w:t>铝基两相散热器的</w:t>
      </w:r>
      <w:r>
        <w:t>工艺</w:t>
      </w:r>
      <w:r>
        <w:rPr>
          <w:rFonts w:hint="eastAsia"/>
        </w:rPr>
        <w:t>目前</w:t>
      </w:r>
      <w:r>
        <w:t>还在探索中，</w:t>
      </w:r>
      <w:r>
        <w:rPr>
          <w:rFonts w:hint="eastAsia"/>
        </w:rPr>
        <w:t>目前</w:t>
      </w:r>
      <w:r>
        <w:t>仍然存在吸液芯</w:t>
      </w:r>
      <w:r>
        <w:rPr>
          <w:rFonts w:hint="eastAsia"/>
        </w:rPr>
        <w:t>加工较为困难</w:t>
      </w:r>
      <w:r>
        <w:t>、焊接工艺效率低及良品稳定性差等问题</w:t>
      </w:r>
      <w:r>
        <w:rPr>
          <w:rFonts w:hint="eastAsia"/>
        </w:rPr>
        <w:t>，需要在后续的研究中予以解决。</w:t>
      </w:r>
    </w:p>
    <w:p w:rsidR="008051C6" w:rsidRDefault="00B71A13">
      <w:pPr>
        <w:pStyle w:val="1"/>
        <w:rPr>
          <w:sz w:val="24"/>
        </w:rPr>
      </w:pPr>
      <w:r>
        <w:rPr>
          <w:rFonts w:hint="eastAsia"/>
          <w:sz w:val="24"/>
        </w:rPr>
        <w:t xml:space="preserve">3 </w:t>
      </w:r>
      <w:r>
        <w:rPr>
          <w:rFonts w:hint="eastAsia"/>
          <w:sz w:val="24"/>
        </w:rPr>
        <w:t>总结与展望</w:t>
      </w:r>
    </w:p>
    <w:p w:rsidR="008051C6" w:rsidRDefault="00B71A13">
      <w:pPr>
        <w:spacing w:line="288" w:lineRule="auto"/>
        <w:ind w:firstLine="420"/>
      </w:pPr>
      <w:r>
        <w:rPr>
          <w:rFonts w:hint="eastAsia"/>
        </w:rPr>
        <w:t>铝基两相散热器以其低成本、低重量、较高传热效率的优势，成为了散热行业内的研究热点之一，其</w:t>
      </w:r>
      <w:r>
        <w:t>关键的技术点包括：</w:t>
      </w:r>
      <w:r>
        <w:rPr>
          <w:rFonts w:hint="eastAsia"/>
        </w:rPr>
        <w:t>1</w:t>
      </w:r>
      <w:r>
        <w:rPr>
          <w:rFonts w:hint="eastAsia"/>
        </w:rPr>
        <w:t>）铝材的加工工艺优化研究（包括烧结工艺、焊接工艺）；</w:t>
      </w:r>
      <w:r>
        <w:rPr>
          <w:rFonts w:hint="eastAsia"/>
        </w:rPr>
        <w:t>2</w:t>
      </w:r>
      <w:r>
        <w:rPr>
          <w:rFonts w:hint="eastAsia"/>
        </w:rPr>
        <w:t>）</w:t>
      </w:r>
      <w:r>
        <w:t>毛细</w:t>
      </w:r>
      <w:r>
        <w:rPr>
          <w:rFonts w:hint="eastAsia"/>
        </w:rPr>
        <w:t>结构的设计优化；</w:t>
      </w:r>
      <w:r>
        <w:rPr>
          <w:rFonts w:hint="eastAsia"/>
        </w:rPr>
        <w:t>3</w:t>
      </w:r>
      <w:r>
        <w:rPr>
          <w:rFonts w:hint="eastAsia"/>
        </w:rPr>
        <w:t>）工质的选择及优化</w:t>
      </w:r>
      <w:r>
        <w:t>；</w:t>
      </w:r>
      <w:r>
        <w:rPr>
          <w:rFonts w:hint="eastAsia"/>
        </w:rPr>
        <w:t>4</w:t>
      </w:r>
      <w:r>
        <w:rPr>
          <w:rFonts w:hint="eastAsia"/>
        </w:rPr>
        <w:t>）针对具体应用场景的可靠性分析</w:t>
      </w:r>
      <w:r>
        <w:t>。</w:t>
      </w:r>
      <w:r>
        <w:rPr>
          <w:rFonts w:hint="eastAsia"/>
        </w:rPr>
        <w:t>以上问题都有赖于行业内的共同探索。</w:t>
      </w:r>
    </w:p>
    <w:p w:rsidR="008051C6" w:rsidRDefault="00B71A13">
      <w:pPr>
        <w:spacing w:line="288" w:lineRule="auto"/>
        <w:ind w:firstLine="420"/>
      </w:pPr>
      <w:r>
        <w:rPr>
          <w:rFonts w:hint="eastAsia"/>
        </w:rPr>
        <w:t>宁波生久科技有限公司作为散热器领域的后起之秀，长期在铝基两相散热器的设计开发大力投入，致力于为客户提供品质优秀、更具性价比的民族品牌选择。未来宁波生久科技有限公司也将与中兴通讯热设计团队紧密配合，对铝基两相散热器的技术研究和落地应用展开</w:t>
      </w:r>
      <w:r>
        <w:rPr>
          <w:rFonts w:hint="eastAsia"/>
        </w:rPr>
        <w:t>深入探索，将其打造为散热技术的一把强弓，在</w:t>
      </w:r>
      <w:r>
        <w:rPr>
          <w:rFonts w:hint="eastAsia"/>
        </w:rPr>
        <w:t>5G</w:t>
      </w:r>
      <w:r>
        <w:rPr>
          <w:rFonts w:hint="eastAsia"/>
        </w:rPr>
        <w:t>通信发展中贡献更大的力量。</w:t>
      </w:r>
    </w:p>
    <w:p w:rsidR="008051C6" w:rsidRDefault="008051C6">
      <w:pPr>
        <w:spacing w:line="288" w:lineRule="auto"/>
        <w:ind w:firstLine="420"/>
      </w:pPr>
    </w:p>
    <w:p w:rsidR="008051C6" w:rsidRDefault="008051C6">
      <w:pPr>
        <w:spacing w:line="288" w:lineRule="auto"/>
        <w:ind w:firstLine="420"/>
      </w:pPr>
    </w:p>
    <w:p w:rsidR="008051C6" w:rsidRDefault="00B71A13">
      <w:pPr>
        <w:pStyle w:val="1"/>
        <w:rPr>
          <w:sz w:val="24"/>
        </w:rPr>
      </w:pPr>
      <w:r>
        <w:rPr>
          <w:rFonts w:hint="eastAsia"/>
          <w:sz w:val="24"/>
        </w:rPr>
        <w:t>参考文献</w:t>
      </w:r>
    </w:p>
    <w:p w:rsidR="008051C6" w:rsidRDefault="00B71A13">
      <w:pPr>
        <w:numPr>
          <w:ilvl w:val="0"/>
          <w:numId w:val="1"/>
        </w:numPr>
        <w:spacing w:line="288" w:lineRule="auto"/>
      </w:pPr>
      <w:r>
        <w:t>陈杰凌</w:t>
      </w:r>
      <w:r>
        <w:t xml:space="preserve">. </w:t>
      </w:r>
      <w:r>
        <w:t>基于多孔吸液芯的超薄铝平板热管的制造及其传热性能研究</w:t>
      </w:r>
      <w:r>
        <w:t xml:space="preserve">[D]. </w:t>
      </w:r>
      <w:r>
        <w:t>华南理工大学</w:t>
      </w:r>
      <w:r>
        <w:t>.</w:t>
      </w:r>
    </w:p>
    <w:p w:rsidR="008051C6" w:rsidRDefault="00B71A13">
      <w:pPr>
        <w:numPr>
          <w:ilvl w:val="0"/>
          <w:numId w:val="1"/>
        </w:numPr>
        <w:spacing w:line="288" w:lineRule="auto"/>
      </w:pPr>
      <w:r>
        <w:rPr>
          <w:rFonts w:hint="eastAsia"/>
        </w:rPr>
        <w:t>唐恒</w:t>
      </w:r>
      <w:r>
        <w:rPr>
          <w:rFonts w:hint="eastAsia"/>
        </w:rPr>
        <w:t xml:space="preserve">, </w:t>
      </w:r>
      <w:r>
        <w:rPr>
          <w:rFonts w:hint="eastAsia"/>
        </w:rPr>
        <w:t>汤勇</w:t>
      </w:r>
      <w:r>
        <w:rPr>
          <w:rFonts w:hint="eastAsia"/>
        </w:rPr>
        <w:t xml:space="preserve">, </w:t>
      </w:r>
      <w:r>
        <w:rPr>
          <w:rFonts w:hint="eastAsia"/>
        </w:rPr>
        <w:t>万珍平</w:t>
      </w:r>
      <w:r>
        <w:rPr>
          <w:rFonts w:hint="eastAsia"/>
        </w:rPr>
        <w:t>,</w:t>
      </w:r>
      <w:r>
        <w:rPr>
          <w:rFonts w:hint="eastAsia"/>
        </w:rPr>
        <w:t>等</w:t>
      </w:r>
      <w:r>
        <w:rPr>
          <w:rFonts w:hint="eastAsia"/>
        </w:rPr>
        <w:t xml:space="preserve">. </w:t>
      </w:r>
      <w:r>
        <w:rPr>
          <w:rFonts w:hint="eastAsia"/>
        </w:rPr>
        <w:t>平板铝热管微沟槽吸液芯的制备及毛细性能研究</w:t>
      </w:r>
      <w:r>
        <w:rPr>
          <w:rFonts w:hint="eastAsia"/>
        </w:rPr>
        <w:t xml:space="preserve">[J]. </w:t>
      </w:r>
      <w:r>
        <w:rPr>
          <w:rFonts w:hint="eastAsia"/>
        </w:rPr>
        <w:t>机械工程学报</w:t>
      </w:r>
      <w:r>
        <w:rPr>
          <w:rFonts w:hint="eastAsia"/>
        </w:rPr>
        <w:t>, 2019(6):8.</w:t>
      </w:r>
    </w:p>
    <w:p w:rsidR="008051C6" w:rsidRDefault="00B71A13">
      <w:pPr>
        <w:numPr>
          <w:ilvl w:val="0"/>
          <w:numId w:val="1"/>
        </w:numPr>
        <w:spacing w:line="288" w:lineRule="auto"/>
      </w:pPr>
      <w:r>
        <w:t>A Y T C ,  B S W K ,  B Y H H , et al. Feasibility study of an aluminum vapor chamber with radial grooved an</w:t>
      </w:r>
      <w:r>
        <w:t>d sintered powders wick structures[J]. Applied Thermal Engineering, 2013, 51( 1–2):864-870.</w:t>
      </w:r>
    </w:p>
    <w:sectPr w:rsidR="008051C6">
      <w:headerReference w:type="default" r:id="rId16"/>
      <w:footerReference w:type="even" r:id="rId17"/>
      <w:footerReference w:type="default" r:id="rId18"/>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1A13" w:rsidRDefault="00B71A13">
      <w:r>
        <w:separator/>
      </w:r>
    </w:p>
  </w:endnote>
  <w:endnote w:type="continuationSeparator" w:id="0">
    <w:p w:rsidR="00B71A13" w:rsidRDefault="00B71A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S Mincho">
    <w:altName w:val="Yu Gothic UI"/>
    <w:panose1 w:val="02020609040205080304"/>
    <w:charset w:val="80"/>
    <w:family w:val="modern"/>
    <w:pitch w:val="default"/>
    <w:sig w:usb0="00000000" w:usb1="00000000" w:usb2="00000012" w:usb3="00000000" w:csb0="0002009F" w:csb1="00000000"/>
  </w:font>
  <w:font w:name="华文仿宋">
    <w:altName w:val="仿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51C6" w:rsidRDefault="00B71A13">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8051C6" w:rsidRDefault="008051C6">
    <w:pPr>
      <w:pStyle w:val="a5"/>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51C6" w:rsidRDefault="00B71A13">
    <w:pPr>
      <w:pStyle w:val="a5"/>
      <w:framePr w:wrap="around" w:vAnchor="text" w:hAnchor="page" w:x="9541" w:yAlign="top"/>
      <w:rPr>
        <w:rStyle w:val="a7"/>
      </w:rPr>
    </w:pPr>
    <w:r>
      <w:rPr>
        <w:rStyle w:val="a7"/>
        <w:rFonts w:hint="eastAsia"/>
      </w:rPr>
      <w:t>第</w:t>
    </w:r>
    <w:r>
      <w:rPr>
        <w:rStyle w:val="a7"/>
      </w:rPr>
      <w:fldChar w:fldCharType="begin"/>
    </w:r>
    <w:r>
      <w:rPr>
        <w:rStyle w:val="a7"/>
      </w:rPr>
      <w:instrText xml:space="preserve">PAGE  </w:instrText>
    </w:r>
    <w:r>
      <w:rPr>
        <w:rStyle w:val="a7"/>
      </w:rPr>
      <w:fldChar w:fldCharType="separate"/>
    </w:r>
    <w:r w:rsidR="00BB5C96">
      <w:rPr>
        <w:rStyle w:val="a7"/>
        <w:noProof/>
      </w:rPr>
      <w:t>5</w:t>
    </w:r>
    <w:r>
      <w:rPr>
        <w:rStyle w:val="a7"/>
      </w:rPr>
      <w:fldChar w:fldCharType="end"/>
    </w:r>
    <w:r>
      <w:rPr>
        <w:rStyle w:val="a7"/>
        <w:rFonts w:hint="eastAsia"/>
      </w:rPr>
      <w:t>页</w:t>
    </w:r>
  </w:p>
  <w:p w:rsidR="008051C6" w:rsidRDefault="00B71A13">
    <w:pPr>
      <w:pStyle w:val="a5"/>
      <w:ind w:right="360"/>
      <w:jc w:val="both"/>
      <w:rPr>
        <w:rFonts w:ascii="宋体" w:hAnsi="宋体"/>
      </w:rPr>
    </w:pPr>
    <w:r>
      <w:rPr>
        <w:rFonts w:ascii="宋体" w:hAnsi="宋体" w:hint="eastAsia"/>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1A13" w:rsidRDefault="00B71A13">
      <w:r>
        <w:separator/>
      </w:r>
    </w:p>
  </w:footnote>
  <w:footnote w:type="continuationSeparator" w:id="0">
    <w:p w:rsidR="00B71A13" w:rsidRDefault="00B71A1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51C6" w:rsidRDefault="008051C6">
    <w:pPr>
      <w:jc w:val="distribute"/>
      <w:rPr>
        <w:rFonts w:eastAsia="华文仿宋"/>
        <w:szCs w:val="21"/>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1CE8D0"/>
    <w:multiLevelType w:val="singleLevel"/>
    <w:tmpl w:val="3F1CE8D0"/>
    <w:lvl w:ilvl="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8597787"/>
    <w:rsid w:val="00092939"/>
    <w:rsid w:val="00126145"/>
    <w:rsid w:val="001767E6"/>
    <w:rsid w:val="00190A8D"/>
    <w:rsid w:val="001B21A1"/>
    <w:rsid w:val="002333B7"/>
    <w:rsid w:val="00244D42"/>
    <w:rsid w:val="002D35FA"/>
    <w:rsid w:val="00312C1A"/>
    <w:rsid w:val="00312DD1"/>
    <w:rsid w:val="0033176D"/>
    <w:rsid w:val="003504B5"/>
    <w:rsid w:val="003A2A06"/>
    <w:rsid w:val="003F58F6"/>
    <w:rsid w:val="00413229"/>
    <w:rsid w:val="00427917"/>
    <w:rsid w:val="0046088D"/>
    <w:rsid w:val="0048006F"/>
    <w:rsid w:val="004C63EE"/>
    <w:rsid w:val="004C7BFA"/>
    <w:rsid w:val="004D79CC"/>
    <w:rsid w:val="0051029C"/>
    <w:rsid w:val="005D680C"/>
    <w:rsid w:val="005F56A6"/>
    <w:rsid w:val="00620346"/>
    <w:rsid w:val="00690BB8"/>
    <w:rsid w:val="006C60A2"/>
    <w:rsid w:val="006D7CA8"/>
    <w:rsid w:val="00763814"/>
    <w:rsid w:val="00771468"/>
    <w:rsid w:val="00793203"/>
    <w:rsid w:val="00796A2A"/>
    <w:rsid w:val="007A2A69"/>
    <w:rsid w:val="007C2C21"/>
    <w:rsid w:val="007C33E4"/>
    <w:rsid w:val="007E771D"/>
    <w:rsid w:val="008051C6"/>
    <w:rsid w:val="00872250"/>
    <w:rsid w:val="0096003B"/>
    <w:rsid w:val="00971DDC"/>
    <w:rsid w:val="00992DCD"/>
    <w:rsid w:val="009D6233"/>
    <w:rsid w:val="009E748B"/>
    <w:rsid w:val="00A22250"/>
    <w:rsid w:val="00A95088"/>
    <w:rsid w:val="00AC4276"/>
    <w:rsid w:val="00AE7865"/>
    <w:rsid w:val="00B12666"/>
    <w:rsid w:val="00B71A13"/>
    <w:rsid w:val="00BB5C96"/>
    <w:rsid w:val="00C50168"/>
    <w:rsid w:val="00D85273"/>
    <w:rsid w:val="00DA12AB"/>
    <w:rsid w:val="00E153F6"/>
    <w:rsid w:val="00E26FED"/>
    <w:rsid w:val="00E43842"/>
    <w:rsid w:val="00E943EE"/>
    <w:rsid w:val="00F01A21"/>
    <w:rsid w:val="00F204EA"/>
    <w:rsid w:val="00FF0AAD"/>
    <w:rsid w:val="017D2762"/>
    <w:rsid w:val="06090CA0"/>
    <w:rsid w:val="06E56C25"/>
    <w:rsid w:val="07237B90"/>
    <w:rsid w:val="09B462C2"/>
    <w:rsid w:val="0CC653F9"/>
    <w:rsid w:val="10075915"/>
    <w:rsid w:val="13927349"/>
    <w:rsid w:val="1E411633"/>
    <w:rsid w:val="215B0FC5"/>
    <w:rsid w:val="22120496"/>
    <w:rsid w:val="281C3516"/>
    <w:rsid w:val="2A772F5E"/>
    <w:rsid w:val="2AD11448"/>
    <w:rsid w:val="2EC233F8"/>
    <w:rsid w:val="33DA153A"/>
    <w:rsid w:val="3D2A5889"/>
    <w:rsid w:val="43E86F1A"/>
    <w:rsid w:val="44C70D28"/>
    <w:rsid w:val="46026390"/>
    <w:rsid w:val="46715BFF"/>
    <w:rsid w:val="468243E8"/>
    <w:rsid w:val="473656FD"/>
    <w:rsid w:val="4D836C8B"/>
    <w:rsid w:val="502D5169"/>
    <w:rsid w:val="52E41541"/>
    <w:rsid w:val="5363569C"/>
    <w:rsid w:val="53C76166"/>
    <w:rsid w:val="55FA50CD"/>
    <w:rsid w:val="58FB7E8A"/>
    <w:rsid w:val="5B381818"/>
    <w:rsid w:val="66A90D03"/>
    <w:rsid w:val="68597787"/>
    <w:rsid w:val="69797C2C"/>
    <w:rsid w:val="6ABB0741"/>
    <w:rsid w:val="6CE90770"/>
    <w:rsid w:val="6D683A06"/>
    <w:rsid w:val="6F021DC2"/>
    <w:rsid w:val="6FEB716A"/>
    <w:rsid w:val="6FED3FC0"/>
    <w:rsid w:val="727E3835"/>
    <w:rsid w:val="74CB20AF"/>
    <w:rsid w:val="74D05C62"/>
    <w:rsid w:val="753D5173"/>
    <w:rsid w:val="75875F7A"/>
    <w:rsid w:val="75CC51BA"/>
    <w:rsid w:val="760435C1"/>
    <w:rsid w:val="77F4599F"/>
    <w:rsid w:val="78BD17FF"/>
    <w:rsid w:val="7B7B30AA"/>
    <w:rsid w:val="7FC952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80E7EE-04A0-4431-9087-D8F6EB13D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qFormat="1"/>
    <w:lsdException w:name="footer" w:semiHidden="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unhideWhenUsed="1" w:qFormat="1"/>
    <w:lsdException w:name="Table Grid" w:semiHidden="1" w:uiPriority="59"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uiPriority w:val="9"/>
    <w:qFormat/>
    <w:pPr>
      <w:keepNext/>
      <w:keepLines/>
      <w:spacing w:before="340" w:after="330" w:line="576" w:lineRule="auto"/>
      <w:outlineLvl w:val="0"/>
    </w:pPr>
    <w:rPr>
      <w:b/>
      <w:kern w:val="44"/>
      <w:sz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qFormat/>
    <w:rPr>
      <w:sz w:val="18"/>
      <w:szCs w:val="18"/>
    </w:rPr>
  </w:style>
  <w:style w:type="paragraph" w:styleId="a5">
    <w:name w:val="footer"/>
    <w:basedOn w:val="a"/>
    <w:semiHidden/>
    <w:qFormat/>
    <w:pPr>
      <w:tabs>
        <w:tab w:val="center" w:pos="4153"/>
        <w:tab w:val="right" w:pos="8306"/>
      </w:tabs>
      <w:snapToGrid w:val="0"/>
      <w:jc w:val="left"/>
    </w:pPr>
    <w:rPr>
      <w:sz w:val="18"/>
      <w:szCs w:val="18"/>
    </w:rPr>
  </w:style>
  <w:style w:type="paragraph" w:styleId="a6">
    <w:name w:val="header"/>
    <w:basedOn w:val="a"/>
    <w:semiHidden/>
    <w:qFormat/>
    <w:pPr>
      <w:pBdr>
        <w:bottom w:val="single" w:sz="6" w:space="1" w:color="auto"/>
      </w:pBdr>
      <w:tabs>
        <w:tab w:val="center" w:pos="4153"/>
        <w:tab w:val="right" w:pos="8306"/>
      </w:tabs>
      <w:snapToGrid w:val="0"/>
      <w:jc w:val="center"/>
    </w:pPr>
    <w:rPr>
      <w:sz w:val="18"/>
      <w:szCs w:val="18"/>
    </w:rPr>
  </w:style>
  <w:style w:type="character" w:styleId="a7">
    <w:name w:val="page number"/>
    <w:basedOn w:val="a0"/>
    <w:semiHidden/>
    <w:qFormat/>
  </w:style>
  <w:style w:type="character" w:customStyle="1" w:styleId="a4">
    <w:name w:val="批注框文本 字符"/>
    <w:basedOn w:val="a0"/>
    <w:link w:val="a3"/>
    <w:uiPriority w:val="99"/>
    <w:semiHidden/>
    <w:qFormat/>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中兴品牌色彩体系">
      <a:dk1>
        <a:srgbClr val="008ED3"/>
      </a:dk1>
      <a:lt1>
        <a:srgbClr val="FFFFFF"/>
      </a:lt1>
      <a:dk2>
        <a:srgbClr val="0067B4"/>
      </a:dk2>
      <a:lt2>
        <a:srgbClr val="58595B"/>
      </a:lt2>
      <a:accent1>
        <a:srgbClr val="FFDE40"/>
      </a:accent1>
      <a:accent2>
        <a:srgbClr val="61CCF0"/>
      </a:accent2>
      <a:accent3>
        <a:srgbClr val="EE3D8A"/>
      </a:accent3>
      <a:accent4>
        <a:srgbClr val="922990"/>
      </a:accent4>
      <a:accent5>
        <a:srgbClr val="8DC642"/>
      </a:accent5>
      <a:accent6>
        <a:srgbClr val="58595B"/>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455</Words>
  <Characters>2596</Characters>
  <Application>Microsoft Office Word</Application>
  <DocSecurity>0</DocSecurity>
  <Lines>21</Lines>
  <Paragraphs>6</Paragraphs>
  <ScaleCrop>false</ScaleCrop>
  <Company/>
  <LinksUpToDate>false</LinksUpToDate>
  <CharactersWithSpaces>3045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00263655</dc:creator>
  <cp:lastModifiedBy>SJ</cp:lastModifiedBy>
  <cp:revision>2</cp:revision>
  <dcterms:created xsi:type="dcterms:W3CDTF">2022-06-21T02:11:00Z</dcterms:created>
  <dcterms:modified xsi:type="dcterms:W3CDTF">2022-06-21T02:11:00Z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ies>
</file>